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Affidamento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diretto previa indagine di mercato con richiesta di preventivi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rtl w:val="0"/>
        </w:rPr>
        <w:t xml:space="preserve">del servizio per il biennio 2025-2026 CLOUD SYPDF - generatore di istanze per elaborazione dei file pdf e rendering di modulistica.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</w:t>
      </w: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sente dichiarazione viene 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sL17Chuf96x6PtOoZHOWyOBUEA==">CgMxLjA4AHIhMXdTME56VGVuVENlOVpPSG9NSjBRWVdtQ29PVXdJcnZz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