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 PROCEDURA SOTTO SOGLIA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e)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gara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 NEGOZIATA SENZA BANDO AI SENSI DELL’ART. 50, COMMA 1, LETTERA E) DEL D.LGS. N. 36/2023 DEL SERVIZIO MANUTENZIONE PER 24 MESI LICENZE ORACLE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essere invitato a presentare la propria offerta per l’affidamento della fornitura/servizio in oggetto.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 essere partner ORACLE;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ai sensi e per gli effetti del D.Lgs. n. 196/2003 e GDPR il trattamento dei dati personali, che avverrà anche con strumenti informatici, esclusivamente nell’ambito del procedimento per il quale la presente dichiarazione viene 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qqLK1P/vIdPWe7l0J8vKd//zw==">CgMxLjA4AHIhMUZpU1B0Z01kbXl2X1FiOG1zN0drZWtDN0FDWl80Wm45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