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352" w:rsidRDefault="00F12DC5">
      <w:pPr>
        <w:pStyle w:val="Titolo"/>
      </w:pPr>
      <w:r>
        <w:rPr>
          <w:rFonts w:cs="Arial"/>
          <w:b/>
          <w:bCs/>
          <w:sz w:val="28"/>
          <w:szCs w:val="28"/>
          <w:lang w:val="it-IT"/>
        </w:rPr>
        <w:t>CONFORMITÀ ALLE NORME APPLICABILI DEGLI STATI MEMBRI PER LA RACCOLTA, LA CONSERVAZIONE E L'USO FUTURO DI CAMPIONI BIOLOGICI UMANI</w:t>
      </w:r>
    </w:p>
    <w:p w:rsidR="00433352" w:rsidRDefault="00F12DC5">
      <w:pPr>
        <w:spacing w:line="360" w:lineRule="auto"/>
        <w:ind w:right="1229"/>
        <w:jc w:val="center"/>
        <w:rPr>
          <w:rFonts w:ascii="Calibri" w:hAnsi="Calibri" w:cs="Calibri"/>
          <w:b/>
          <w:bCs/>
          <w:sz w:val="16"/>
          <w:szCs w:val="16"/>
          <w:lang w:val="it-IT"/>
        </w:rPr>
      </w:pPr>
      <w:r>
        <w:rPr>
          <w:rFonts w:ascii="Calibri" w:hAnsi="Calibri" w:cs="Calibri"/>
          <w:b/>
          <w:bCs/>
          <w:sz w:val="16"/>
          <w:szCs w:val="16"/>
          <w:lang w:val="it-IT"/>
        </w:rPr>
        <w:t>(REGOLAMENTO UE n. 536/2014, ART. 7.1 (H)</w:t>
      </w:r>
    </w:p>
    <w:p w:rsidR="00433352" w:rsidRDefault="00433352">
      <w:pPr>
        <w:rPr>
          <w:rFonts w:ascii="Calibri" w:hAnsi="Calibri" w:cs="Arial"/>
          <w:sz w:val="18"/>
          <w:szCs w:val="18"/>
          <w:lang w:val="it-IT"/>
        </w:rPr>
      </w:pP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4"/>
        <w:gridCol w:w="2262"/>
      </w:tblGrid>
      <w:tr w:rsidR="00433352">
        <w:tblPrEx>
          <w:tblCellMar>
            <w:top w:w="0" w:type="dxa"/>
            <w:bottom w:w="0" w:type="dxa"/>
          </w:tblCellMar>
        </w:tblPrEx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52" w:rsidRDefault="00F12DC5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Titolo completo della sperimentazione clinica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52" w:rsidRDefault="00F12DC5">
            <w:pPr>
              <w:spacing w:before="120"/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Numero UE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della sperimentazione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52" w:rsidRDefault="00F12DC5">
            <w:pPr>
              <w:spacing w:before="120"/>
            </w:pPr>
            <w:r>
              <w:rPr>
                <w:rStyle w:val="Testosegnaposto"/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Cliccare o toccare qui per inserire il testo.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52" w:rsidRDefault="00F12DC5">
            <w:pPr>
              <w:spacing w:before="120"/>
            </w:pPr>
            <w:r>
              <w:rPr>
                <w:rStyle w:val="Testosegnaposto"/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352" w:rsidRDefault="00F12DC5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Soggetto legalmente responsabile per i campioni </w:t>
            </w:r>
          </w:p>
          <w:p w:rsidR="00433352" w:rsidRDefault="00F12DC5">
            <w:pPr>
              <w:spacing w:before="120"/>
            </w:pPr>
            <w:r>
              <w:rPr>
                <w:rStyle w:val="Testosegnaposto"/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Cliccare o toccare qui per inserire il testo.</w:t>
            </w:r>
          </w:p>
        </w:tc>
      </w:tr>
    </w:tbl>
    <w:p w:rsidR="00433352" w:rsidRDefault="00433352">
      <w:pPr>
        <w:rPr>
          <w:rFonts w:ascii="Calibri" w:hAnsi="Calibri" w:cs="Arial"/>
          <w:sz w:val="18"/>
          <w:szCs w:val="18"/>
          <w:lang w:val="it-IT"/>
        </w:rPr>
      </w:pPr>
    </w:p>
    <w:p w:rsidR="00433352" w:rsidRDefault="00F12DC5">
      <w:pPr>
        <w:pStyle w:val="Titolo2"/>
        <w:rPr>
          <w:rFonts w:ascii="Calibri" w:hAnsi="Calibri" w:cs="Arial"/>
          <w:color w:val="auto"/>
          <w:lang w:val="it-IT"/>
        </w:rPr>
      </w:pPr>
      <w:r>
        <w:rPr>
          <w:rFonts w:ascii="Calibri" w:hAnsi="Calibri" w:cs="Arial"/>
          <w:color w:val="auto"/>
          <w:lang w:val="it-IT"/>
        </w:rPr>
        <w:t xml:space="preserve">Come usare questo documento </w:t>
      </w:r>
    </w:p>
    <w:p w:rsidR="00433352" w:rsidRDefault="00F12DC5">
      <w:pPr>
        <w:spacing w:after="200" w:line="276" w:lineRule="auto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 xml:space="preserve">Questo </w:t>
      </w:r>
      <w:r>
        <w:rPr>
          <w:rFonts w:ascii="Calibri" w:hAnsi="Calibri" w:cs="Arial"/>
          <w:sz w:val="20"/>
          <w:szCs w:val="20"/>
          <w:lang w:val="it-IT"/>
        </w:rPr>
        <w:t>modulo può essere utilizzato dagli sponsor delle sperimentazioni cliniche nel dossier di candidatura della Parte II per fornire informazioni sulla “conformità alle norme applicabili per la raccolta, conservazione e uso futuro di campioni biologici di sogge</w:t>
      </w:r>
      <w:r>
        <w:rPr>
          <w:rFonts w:ascii="Calibri" w:hAnsi="Calibri" w:cs="Arial"/>
          <w:sz w:val="20"/>
          <w:szCs w:val="20"/>
          <w:lang w:val="it-IT"/>
        </w:rPr>
        <w:t xml:space="preserve">tti partecipanti a sperimentazioni cliniche” (Regolamento (UE) n. 536/ 2014, articolo 7.1 (h)). Questo non è un modulo obbligatorio e potrebbero essere in vigore disposizioni nazionali diverse che dovrebbero essere confermate prima della presentazione.    </w:t>
      </w:r>
    </w:p>
    <w:p w:rsidR="00433352" w:rsidRDefault="00F12DC5">
      <w:pPr>
        <w:spacing w:after="200" w:line="276" w:lineRule="auto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 xml:space="preserve">Se le informazioni sono già fornite altrove nel dossier di candidatura, è necessario fornire un riferimento. Per facilitare l'utilizzo del modello, ogni sezione può essere compressa cliccando sul titolo.  </w:t>
      </w:r>
    </w:p>
    <w:p w:rsidR="00433352" w:rsidRDefault="00F12DC5">
      <w:pPr>
        <w:spacing w:after="200" w:line="276" w:lineRule="auto"/>
        <w:jc w:val="both"/>
        <w:rPr>
          <w:rFonts w:ascii="Calibri" w:hAnsi="Calibri" w:cs="Arial"/>
          <w:sz w:val="20"/>
          <w:szCs w:val="20"/>
          <w:lang w:val="it-IT"/>
        </w:rPr>
      </w:pPr>
      <w:r>
        <w:rPr>
          <w:rFonts w:ascii="Calibri" w:hAnsi="Calibri" w:cs="Arial"/>
          <w:sz w:val="20"/>
          <w:szCs w:val="20"/>
          <w:lang w:val="it-IT"/>
        </w:rPr>
        <w:t xml:space="preserve">Questo modello della Parte II è stato </w:t>
      </w:r>
      <w:r>
        <w:rPr>
          <w:rFonts w:ascii="Calibri" w:hAnsi="Calibri" w:cs="Arial"/>
          <w:sz w:val="20"/>
          <w:szCs w:val="20"/>
          <w:lang w:val="it-IT"/>
        </w:rPr>
        <w:t xml:space="preserve">sviluppato e approvato dallo EU Clinical Trials Expert Group in ottemperanza con il Regolamento (UE) n. 536/2014 sulla sperimentazione clinica di medicinali per uso umano. </w:t>
      </w:r>
    </w:p>
    <w:p w:rsidR="00433352" w:rsidRDefault="00433352">
      <w:pPr>
        <w:rPr>
          <w:rFonts w:ascii="Calibri" w:hAnsi="Calibri" w:cs="Arial"/>
          <w:sz w:val="20"/>
          <w:szCs w:val="20"/>
          <w:lang w:val="it-IT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433352">
        <w:tblPrEx>
          <w:tblCellMar>
            <w:top w:w="0" w:type="dxa"/>
            <w:bottom w:w="0" w:type="dxa"/>
          </w:tblCellMar>
        </w:tblPrEx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I -  Descrizione dei campioni biologici nella sperimentazione clinica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Sezione 1 -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 Questa sperimentazione clinica comporta una nuova raccolta di campioni dei soggetti?</w:t>
            </w:r>
          </w:p>
          <w:p w:rsidR="00433352" w:rsidRDefault="00F12DC5">
            <w:r>
              <w:rPr>
                <w:rFonts w:ascii="Wingdings" w:eastAsia="Wingdings" w:hAnsi="Wingdings" w:cs="Wingdings"/>
                <w:sz w:val="20"/>
                <w:szCs w:val="20"/>
                <w:lang w:val="it-IT"/>
              </w:rPr>
              <w:t>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 Sì, compilare le informazioni richieste nella sezione 1</w:t>
            </w:r>
          </w:p>
          <w:p w:rsidR="00433352" w:rsidRDefault="00F12DC5">
            <w:r>
              <w:rPr>
                <w:rFonts w:ascii="Wingdings" w:eastAsia="Wingdings" w:hAnsi="Wingdings" w:cs="Wingdings"/>
                <w:sz w:val="20"/>
                <w:szCs w:val="20"/>
                <w:lang w:val="it-IT"/>
              </w:rPr>
              <w:t>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 No, non applicabile. Continuare con la sezione 2</w:t>
            </w:r>
          </w:p>
          <w:p w:rsidR="00433352" w:rsidRDefault="00433352">
            <w:pP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</w:pPr>
          </w:p>
          <w:p w:rsidR="00433352" w:rsidRDefault="00F12DC5"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Nota: Lo sponsor deve compilare </w:t>
            </w: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  <w:lang w:val="it-IT"/>
              </w:rPr>
              <w:t xml:space="preserve">almeno una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delle sezioni 1 o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 2 </w:t>
            </w:r>
          </w:p>
          <w:p w:rsidR="00433352" w:rsidRDefault="00433352">
            <w:pPr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after="8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1.1.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Che tipo/i di campioni del soggetto verranno prelevati?</w:t>
            </w:r>
          </w:p>
          <w:p w:rsidR="00433352" w:rsidRDefault="00F12DC5">
            <w:pPr>
              <w:pStyle w:val="Paragrafoelenco"/>
              <w:spacing w:after="80"/>
              <w:ind w:left="479" w:hanging="29"/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Indicare il materiale originale prelevato dal paziente, ad es. sangue, tessuto (stato del tipo di tessuto), urina, saliva ecc.  Non includere informazioni sulla preparazione del campione.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</w:t>
            </w:r>
          </w:p>
          <w:p w:rsidR="00433352" w:rsidRDefault="00F12DC5">
            <w:pPr>
              <w:pStyle w:val="Paragrafoelenco"/>
              <w:spacing w:after="80"/>
              <w:ind w:left="450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1"/>
              </w:numPr>
              <w:spacing w:after="80"/>
              <w:ind w:left="357" w:hanging="357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Numero totale di campioni, frammenti (ad es. aliquote, blocchi di tessuto, sezioni) e volume totale (se applicabile) per singolo soggetto: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br/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1"/>
              </w:num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Il numero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massimo di campioni e il volume massimo (se applicabile) in un’unica volta: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br/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1"/>
              </w:numPr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lastRenderedPageBreak/>
              <w:t xml:space="preserve">I campioni verranno prelevati nell'ambito dell'assistenza sanitaria di routine? </w:t>
            </w:r>
          </w:p>
          <w:p w:rsidR="00433352" w:rsidRDefault="00F12DC5">
            <w:pPr>
              <w:pStyle w:val="Paragrafoelenco"/>
              <w:ind w:left="360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Sezione 2 - Questa sperimentazione clinica comporta la raccolta di campioni di archivio esistenti (ad es. materiale diagnostico archiviato o altro materiale di biobanca)?</w:t>
            </w:r>
          </w:p>
          <w:p w:rsidR="00433352" w:rsidRDefault="00F12DC5">
            <w:pPr>
              <w:spacing w:before="80"/>
            </w:pPr>
            <w:r>
              <w:rPr>
                <w:rFonts w:ascii="Wingdings" w:eastAsia="Wingdings" w:hAnsi="Wingdings" w:cs="Wingdings"/>
                <w:sz w:val="20"/>
                <w:szCs w:val="20"/>
                <w:lang w:val="it-IT"/>
              </w:rPr>
              <w:t>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Sì, compilare le informazioni richieste nella sezione 2</w:t>
            </w:r>
          </w:p>
          <w:p w:rsidR="00433352" w:rsidRDefault="00F12DC5">
            <w:r>
              <w:rPr>
                <w:rFonts w:ascii="Wingdings" w:eastAsia="Wingdings" w:hAnsi="Wingdings" w:cs="Wingdings"/>
                <w:sz w:val="20"/>
                <w:szCs w:val="20"/>
                <w:lang w:val="it-IT"/>
              </w:rPr>
              <w:t>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No, non applicabile. Cont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inuare con la sezione 3</w:t>
            </w:r>
          </w:p>
          <w:p w:rsidR="00433352" w:rsidRDefault="00433352">
            <w:pPr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</w:p>
          <w:p w:rsidR="00433352" w:rsidRDefault="00F12DC5"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Nota: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 xml:space="preserve"> Lo sponsor deve compilare almeno una delle sezioni 1 o 2 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after="8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2.1.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Che tipo/i di materiale/campioni archiviati saranno usati?</w:t>
            </w:r>
          </w:p>
          <w:p w:rsidR="00433352" w:rsidRDefault="00F12DC5">
            <w:pPr>
              <w:pStyle w:val="Paragrafoelenco"/>
              <w:ind w:left="335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after="80"/>
              <w:ind w:left="316" w:hanging="316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2.2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Fornire il numero totale di campioni,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frammenti (es. aliquote, blocchi di tessuto, sezioni) e il volume totale (se applicabile) a cui lo Sponsor ha bisogno di accedere per ogni singolo soggetto.</w:t>
            </w:r>
          </w:p>
          <w:p w:rsidR="00433352" w:rsidRDefault="00F12DC5">
            <w:pPr>
              <w:pStyle w:val="Paragrafoelenco"/>
              <w:spacing w:after="80"/>
              <w:ind w:left="335"/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Esempio: sono necessarie 20 sezioni a biopsia per ogni singolo soggetto</w:t>
            </w:r>
          </w:p>
          <w:p w:rsidR="00433352" w:rsidRDefault="00F12DC5">
            <w:pPr>
              <w:pStyle w:val="Paragrafoelenco"/>
              <w:spacing w:after="80"/>
              <w:ind w:left="335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Cliccare o toccare qui </w:t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per inserire il testo.</w:t>
            </w:r>
          </w:p>
          <w:p w:rsidR="00433352" w:rsidRDefault="00433352">
            <w:pP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2"/>
              </w:numPr>
              <w:spacing w:after="80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Si otterranno nuovi consensi per l'utilizzo dei campioni d'archivio nella sperimentazione clinica (se conforme alla normativa nazionale)?  In caso negativo, fornire spiegazioni.</w:t>
            </w:r>
          </w:p>
          <w:p w:rsidR="00433352" w:rsidRDefault="00F12DC5">
            <w:pPr>
              <w:pStyle w:val="Paragrafoelenco"/>
              <w:spacing w:after="80"/>
              <w:ind w:left="335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(se applicabile, aggiungere il testo del consenso ori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ginale)</w:t>
            </w:r>
          </w:p>
          <w:p w:rsidR="00433352" w:rsidRDefault="00F12DC5">
            <w:pPr>
              <w:ind w:left="316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</w:t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hd w:val="clear" w:color="auto" w:fill="D9D9D9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II – Uso, conservazione e trasferimento di campioni biologici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hd w:val="clear" w:color="auto" w:fill="D9D9D9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Sezione 3 – Uso di campioni per uno scopo che rientra nell'obiettivo della presente sperimentazione clinica (cioè per l'uso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descritto nel protocollo)</w:t>
            </w:r>
          </w:p>
          <w:p w:rsidR="00433352" w:rsidRDefault="00433352">
            <w:pPr>
              <w:shd w:val="clear" w:color="auto" w:fill="D9D9D9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</w:p>
          <w:p w:rsidR="00433352" w:rsidRDefault="00F12DC5">
            <w:r>
              <w:rPr>
                <w:rFonts w:ascii="Calibri" w:hAnsi="Calibri" w:cs="Arial"/>
                <w:b/>
                <w:bCs/>
                <w:sz w:val="18"/>
                <w:szCs w:val="18"/>
                <w:lang w:val="it-IT"/>
              </w:rPr>
              <w:t>Nota: Questa sezione deve essere compilata sia per i campioni di archivio appena prelevati che per quelli esistenti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after="80"/>
              <w:ind w:left="318" w:hanging="316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3.1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Dove verranno analizzati i campioni? </w:t>
            </w:r>
          </w:p>
          <w:p w:rsidR="00433352" w:rsidRDefault="00F12DC5">
            <w:pPr>
              <w:spacing w:after="80"/>
              <w:ind w:left="318" w:hanging="2"/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es., all'interno del laboratorio clinico, all'interno/esterno dell'org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anizzazione dello sponsor, all'interno/al di fuori dello Stato membro in cui sono stati raccolti o all'interno/al di fuori dell'UE/SEE.</w:t>
            </w:r>
          </w:p>
          <w:p w:rsidR="00433352" w:rsidRDefault="00F12DC5">
            <w:pPr>
              <w:pStyle w:val="Paragrafoelenco"/>
              <w:tabs>
                <w:tab w:val="left" w:pos="3635"/>
              </w:tabs>
              <w:spacing w:after="80"/>
              <w:ind w:left="318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  <w:r>
              <w:rPr>
                <w:rFonts w:ascii="Calibri" w:hAnsi="Calibri"/>
                <w:lang w:val="it-IT"/>
              </w:rPr>
              <w:tab/>
            </w:r>
          </w:p>
          <w:p w:rsidR="00433352" w:rsidRDefault="00433352">
            <w:pPr>
              <w:tabs>
                <w:tab w:val="left" w:pos="734"/>
              </w:tabs>
            </w:pP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3"/>
              </w:numPr>
              <w:spacing w:after="80"/>
              <w:ind w:left="357" w:hanging="357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Se i campioni verranno inviati a un'altra organizzazione per le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analisi (nell'ambito della sperimentazione), come verranno gestiti dopo le analisi? </w:t>
            </w:r>
          </w:p>
          <w:p w:rsidR="00433352" w:rsidRDefault="00F12DC5">
            <w:pPr>
              <w:pStyle w:val="Paragrafoelenco"/>
              <w:spacing w:before="80"/>
              <w:ind w:left="360"/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es., distrutti, restituiti al soggetto legalmente responsabile per i campioni, conservati nel sito dove sono stati analizzati, resi anonimi ecc.</w:t>
            </w:r>
          </w:p>
          <w:p w:rsidR="00433352" w:rsidRDefault="00433352">
            <w:pPr>
              <w:pStyle w:val="Paragrafoelenco"/>
              <w:spacing w:before="80"/>
              <w:ind w:left="360"/>
              <w:rPr>
                <w:rFonts w:ascii="Calibri" w:hAnsi="Calibri" w:cs="Arial"/>
                <w:sz w:val="20"/>
                <w:szCs w:val="20"/>
                <w:lang w:val="it-IT"/>
              </w:rPr>
            </w:pPr>
          </w:p>
          <w:p w:rsidR="00433352" w:rsidRDefault="00F12DC5">
            <w:pPr>
              <w:pStyle w:val="Paragrafoelenco"/>
              <w:spacing w:before="80" w:after="80"/>
              <w:ind w:left="357"/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Nota: Deve essere stabili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 xml:space="preserve">to con il destinatario un accordo (Contratto di trasferimento materiale o equivalente) che regoli le modalità di trattamento del campione  </w:t>
            </w:r>
          </w:p>
          <w:p w:rsidR="00433352" w:rsidRDefault="00F12DC5">
            <w:pPr>
              <w:pStyle w:val="Paragrafoelenco"/>
              <w:spacing w:before="80"/>
              <w:ind w:left="316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3"/>
              </w:num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lastRenderedPageBreak/>
              <w:t>Dove verranno conservati i campioni?</w:t>
            </w:r>
          </w:p>
          <w:p w:rsidR="00433352" w:rsidRDefault="00F12DC5">
            <w:pPr>
              <w:pStyle w:val="Paragrafoelenco"/>
              <w:ind w:left="360"/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 xml:space="preserve">es., 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all'interno/esterno dell'organizzazione dello sponsor, all'interno/al di fuori dello Stato membro in cui sono stati raccolti o all'interno/al di fuori dell'UE/SEE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br/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3"/>
              </w:numPr>
              <w:spacing w:after="80"/>
              <w:ind w:left="357" w:hanging="357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Per quanto tempo verranno conservati i campion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i? </w:t>
            </w:r>
          </w:p>
          <w:p w:rsidR="00433352" w:rsidRDefault="00F12DC5">
            <w:pPr>
              <w:pStyle w:val="Paragrafoelenco"/>
              <w:ind w:left="316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</w:t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3"/>
              </w:numPr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Che tipo di collegamento è disponibile tra campioni e singoli soggetti? </w:t>
            </w:r>
          </w:p>
          <w:p w:rsidR="00433352" w:rsidRDefault="00F12DC5">
            <w:pPr>
              <w:pStyle w:val="Paragrafoelenco"/>
              <w:tabs>
                <w:tab w:val="left" w:pos="1049"/>
              </w:tabs>
              <w:ind w:left="1049" w:hanging="283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ab/>
              <w:t>Collegamento diretto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 xml:space="preserve"> (campioni contrassegnati con ad es. iniziali, data di nascita)</w:t>
            </w:r>
          </w:p>
          <w:p w:rsidR="00433352" w:rsidRDefault="00F12DC5">
            <w:pPr>
              <w:pStyle w:val="Paragrafoelenco"/>
              <w:tabs>
                <w:tab w:val="left" w:pos="1049"/>
              </w:tabs>
              <w:ind w:left="1049" w:hanging="283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ab/>
              <w:t>Collegamento pseudonimizzato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>(campioni contrassegnati da un codice)</w:t>
            </w:r>
          </w:p>
          <w:p w:rsidR="00433352" w:rsidRDefault="00F12DC5">
            <w:pPr>
              <w:pStyle w:val="Paragrafoelenco"/>
              <w:tabs>
                <w:tab w:val="left" w:pos="1049"/>
              </w:tabs>
              <w:ind w:left="1049" w:hanging="283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ab/>
              <w:t xml:space="preserve">Nessun collegamento, i campioni sono resi anonimi 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>(ovvero i campioni non possono né direttamente né indirettamente essere collegati al donatore del campione con mezzi ragionevoli, ai sensi del considerando 26 del Re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>golamento generale sulla protezione dei dati (UE) 2016/679)</w:t>
            </w:r>
            <w:r>
              <w:rPr>
                <w:rFonts w:ascii="Calibri" w:hAnsi="Calibri"/>
                <w:i/>
                <w:iCs/>
                <w:lang w:val="it-IT"/>
              </w:rPr>
              <w:t xml:space="preserve"> 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3"/>
              </w:numPr>
              <w:spacing w:after="80"/>
              <w:ind w:left="357" w:hanging="357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Chi avrà accesso ai campioni?</w:t>
            </w:r>
          </w:p>
          <w:p w:rsidR="00433352" w:rsidRDefault="00F12DC5">
            <w:pPr>
              <w:pStyle w:val="Paragrafoelenco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3"/>
              </w:numPr>
              <w:spacing w:after="80"/>
              <w:ind w:left="357" w:hanging="357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Chi avrà accesso all’elenco dei codici dei campioni (se applicabile)?</w:t>
            </w:r>
          </w:p>
          <w:p w:rsidR="00433352" w:rsidRDefault="00F12DC5">
            <w:pPr>
              <w:pStyle w:val="Paragrafoelenco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Cliccare o toccare qui per inserire il </w:t>
            </w: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Sezione 4 -</w:t>
            </w:r>
            <w:r>
              <w:rPr>
                <w:rFonts w:ascii="Calibri" w:hAnsi="Calibri" w:cs="Arial"/>
                <w:b/>
                <w:bCs/>
                <w:lang w:val="it-IT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I campioni appena prelevati o i campioni di archivio esistenti verranno conservati per un uso futuro?</w:t>
            </w:r>
          </w:p>
          <w:p w:rsidR="00433352" w:rsidRDefault="00F12DC5">
            <w:pP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Per usi diversi da quelli descritti nel protocollo. Si noti che alcuni scopi (uso secondario di campioni) potrebbero richiedere un'app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rovazione aggiuntiva, nella maggior parte degli Stati membri, da parte di un comitato etico</w:t>
            </w:r>
          </w:p>
          <w:p w:rsidR="00433352" w:rsidRDefault="00F12DC5">
            <w:pPr>
              <w:spacing w:before="80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 xml:space="preserve"> Sì, compilare le informazioni richieste in questa sezione </w:t>
            </w:r>
          </w:p>
          <w:p w:rsidR="00433352" w:rsidRDefault="00F12DC5"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 xml:space="preserve"> No, i campioni verranno distrutti, continuare con la sezione 5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4"/>
              </w:num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Qual è lo scopo dell'uso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futuro?</w:t>
            </w:r>
          </w:p>
          <w:p w:rsidR="00433352" w:rsidRDefault="00F12DC5">
            <w:pPr>
              <w:ind w:left="457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4"/>
              </w:numPr>
              <w:spacing w:after="80"/>
              <w:ind w:left="357" w:hanging="357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Per quanto tempo verranno conservati i campioni? 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:rsidR="00433352" w:rsidRDefault="00F12DC5">
            <w:pPr>
              <w:pStyle w:val="Paragrafoelenco"/>
              <w:spacing w:before="80"/>
              <w:ind w:left="357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4"/>
              </w:numPr>
              <w:spacing w:after="80"/>
              <w:ind w:left="357" w:hanging="357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Dove verranno conservati i campioni? 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:rsidR="00433352" w:rsidRDefault="00F12DC5">
            <w:pPr>
              <w:pStyle w:val="Paragrafoelenco"/>
              <w:tabs>
                <w:tab w:val="left" w:pos="766"/>
              </w:tabs>
              <w:ind w:left="741" w:hanging="283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4.4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Che tipo di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collegamento è disponibile tra campioni e singoli soggetti?</w:t>
            </w:r>
            <w:r>
              <w:rPr>
                <w:rFonts w:ascii="Calibri" w:hAnsi="Calibri" w:cs="Arial"/>
                <w:b/>
                <w:bCs/>
                <w:lang w:val="it-IT"/>
              </w:rPr>
              <w:t xml:space="preserve"> </w:t>
            </w:r>
          </w:p>
          <w:p w:rsidR="00433352" w:rsidRDefault="00F12DC5">
            <w:pPr>
              <w:ind w:left="741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>Collegamento diretto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 xml:space="preserve"> (campioni contrassegnati con ad es. iniziali, data di nascita)</w:t>
            </w:r>
          </w:p>
          <w:p w:rsidR="00433352" w:rsidRDefault="00F12DC5">
            <w:pPr>
              <w:ind w:firstLine="741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>Collegamento pseudonimizzato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 xml:space="preserve"> (campioni contrassegnati da un codice)</w:t>
            </w:r>
          </w:p>
          <w:p w:rsidR="00433352" w:rsidRDefault="00F12DC5">
            <w:pPr>
              <w:ind w:firstLine="741"/>
            </w:pPr>
            <w:r>
              <w:rPr>
                <w:rFonts w:ascii="Segoe UI Symbol" w:eastAsia="MS Gothic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>Nessun collegamento, i campioni sono res</w:t>
            </w:r>
            <w:r>
              <w:rPr>
                <w:rFonts w:ascii="Calibri" w:eastAsia="MS Gothic" w:hAnsi="Calibri"/>
                <w:sz w:val="20"/>
                <w:szCs w:val="20"/>
                <w:lang w:val="it-IT"/>
              </w:rPr>
              <w:t xml:space="preserve">i anonimi </w:t>
            </w:r>
            <w:r>
              <w:rPr>
                <w:rFonts w:ascii="Calibri" w:eastAsia="MS Gothic" w:hAnsi="Calibri"/>
                <w:i/>
                <w:iCs/>
                <w:sz w:val="20"/>
                <w:szCs w:val="20"/>
                <w:lang w:val="it-IT"/>
              </w:rPr>
              <w:t xml:space="preserve">(ovvero i campioni non possono né direttamente né indirettamente </w:t>
            </w:r>
            <w:r>
              <w:rPr>
                <w:rFonts w:ascii="Calibri" w:hAnsi="Calibri" w:cs="Arial"/>
                <w:i/>
                <w:iCs/>
                <w:sz w:val="20"/>
                <w:szCs w:val="20"/>
                <w:lang w:val="it-IT"/>
              </w:rPr>
              <w:t>essere collegati al donatore del campione con mezzi ragionevoli, ai sensi del considerando 26 del Regolamento generale sulla protezione dei dati (UE) 2016/679)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after="8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lastRenderedPageBreak/>
              <w:t>4.5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Chi avrà access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>o ai campioni?</w:t>
            </w:r>
          </w:p>
          <w:p w:rsidR="00433352" w:rsidRDefault="00F12DC5">
            <w:pPr>
              <w:pStyle w:val="Paragrafoelenco"/>
              <w:spacing w:after="80"/>
              <w:ind w:left="316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after="8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4.6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Chi avrà accesso all’elenco dei codici dei campioni (se applicabile)?</w:t>
            </w:r>
          </w:p>
          <w:p w:rsidR="00433352" w:rsidRDefault="00F12DC5">
            <w:pPr>
              <w:pStyle w:val="Paragrafoelenco"/>
              <w:tabs>
                <w:tab w:val="left" w:pos="766"/>
              </w:tabs>
              <w:spacing w:after="80"/>
              <w:ind w:left="599" w:hanging="283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5"/>
              </w:numPr>
              <w:spacing w:after="80"/>
              <w:ind w:left="357" w:hanging="357"/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Il donatore sarà ricontattato per dare un nuovo consenso all'uso dei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campioni in future ricerche? In caso negativo, fornire spiegazioni. </w:t>
            </w:r>
          </w:p>
          <w:p w:rsidR="00433352" w:rsidRDefault="00F12DC5">
            <w:pPr>
              <w:pStyle w:val="Paragrafoelenco"/>
              <w:spacing w:after="80"/>
              <w:ind w:left="316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5"/>
              </w:numPr>
              <w:spacing w:after="80"/>
              <w:ind w:left="357" w:hanging="357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Se sarà in discussione un futuro uso secondario dei campioni, un comitato etico o un comitato di biobanca valuterà se lo scopo del 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nuovo studio rientra nell'ambito del consenso originariamente fornito (se applicabile secondo la legislazione nazionale)?  </w:t>
            </w:r>
          </w:p>
          <w:p w:rsidR="00433352" w:rsidRDefault="00F12DC5">
            <w:pPr>
              <w:pStyle w:val="Paragrafoelenco"/>
              <w:ind w:left="457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5"/>
              </w:numPr>
              <w:spacing w:after="80"/>
              <w:ind w:left="357" w:hanging="357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Chi potrà fare uso dei campioni?</w:t>
            </w:r>
          </w:p>
          <w:p w:rsidR="00433352" w:rsidRDefault="00F12DC5">
            <w:pPr>
              <w:pStyle w:val="Paragrafoelenco"/>
              <w:spacing w:after="120"/>
              <w:ind w:left="457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pStyle w:val="Paragrafoelenco"/>
              <w:numPr>
                <w:ilvl w:val="1"/>
                <w:numId w:val="5"/>
              </w:numPr>
              <w:spacing w:after="80"/>
              <w:ind w:left="459" w:hanging="459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Come verranno gestiti i risultati non richiesti?</w:t>
            </w:r>
          </w:p>
          <w:p w:rsidR="00433352" w:rsidRDefault="00F12DC5">
            <w:pPr>
              <w:spacing w:after="120"/>
              <w:ind w:left="459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before="24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III - Ulteriori informazioni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before="240"/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Sezione 5 - Ulteriori informazioni richieste da disposizioni e regolamenti nazionali vigenti negli Stati membri.  Lo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 xml:space="preserve">sponsor dovrebbe confermarlo prima della presentazione   </w:t>
            </w:r>
          </w:p>
          <w:p w:rsidR="00433352" w:rsidRDefault="00F12DC5">
            <w:pPr>
              <w:spacing w:before="24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Nota: Questa sezione va compilata solo se applicabile</w:t>
            </w:r>
          </w:p>
        </w:tc>
      </w:tr>
      <w:tr w:rsidR="00433352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433352" w:rsidRDefault="00F12DC5">
            <w:pPr>
              <w:spacing w:before="240"/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5.1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 Fornire qualsiasi informazione (non descritta sopra) pertinente sulla scorta delle norme applicabili dello Stato membro in materia di preli</w:t>
            </w:r>
            <w:r>
              <w:rPr>
                <w:rFonts w:ascii="Calibri" w:hAnsi="Calibri" w:cs="Arial"/>
                <w:sz w:val="20"/>
                <w:szCs w:val="20"/>
                <w:lang w:val="it-IT"/>
              </w:rPr>
              <w:t xml:space="preserve">evo, conservazione, trasporto e uso futuro dei campioni, ad es. su disposizioni e regolamenti nazionali specifici relativi all'uso di campioni biologici umani. </w:t>
            </w:r>
          </w:p>
          <w:p w:rsidR="00433352" w:rsidRDefault="00F12DC5">
            <w:pPr>
              <w:spacing w:before="240"/>
            </w:pPr>
            <w:r>
              <w:rPr>
                <w:rStyle w:val="Testosegnaposto"/>
                <w:rFonts w:ascii="Calibri" w:hAnsi="Calibri" w:cs="Arial"/>
                <w:b/>
                <w:bCs/>
                <w:sz w:val="20"/>
                <w:szCs w:val="20"/>
                <w:lang w:val="it-IT"/>
              </w:rPr>
              <w:t>Cliccare o toccare qui per inserire il testo.</w:t>
            </w:r>
          </w:p>
        </w:tc>
      </w:tr>
    </w:tbl>
    <w:p w:rsidR="00433352" w:rsidRDefault="00433352">
      <w:pPr>
        <w:pStyle w:val="Paragrafoelenco"/>
        <w:rPr>
          <w:rFonts w:ascii="Calibri" w:hAnsi="Calibri" w:cs="Arial"/>
          <w:sz w:val="20"/>
          <w:szCs w:val="20"/>
          <w:lang w:val="it-IT"/>
        </w:rPr>
      </w:pPr>
    </w:p>
    <w:sectPr w:rsidR="0043335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12DC5">
      <w:r>
        <w:separator/>
      </w:r>
    </w:p>
  </w:endnote>
  <w:endnote w:type="continuationSeparator" w:id="0">
    <w:p w:rsidR="00000000" w:rsidRDefault="00F1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5BD" w:rsidRDefault="00F12DC5">
    <w:pPr>
      <w:pStyle w:val="Pidipagina"/>
      <w:jc w:val="right"/>
    </w:pPr>
    <w:r>
      <w:rPr>
        <w:rFonts w:ascii="Calibri" w:hAnsi="Calibri"/>
        <w:sz w:val="20"/>
        <w:szCs w:val="20"/>
      </w:rPr>
      <w:t xml:space="preserve">pag. </w:t>
    </w:r>
    <w:r>
      <w:rPr>
        <w:rFonts w:ascii="Calibri" w:hAnsi="Calibri"/>
        <w:sz w:val="20"/>
        <w:szCs w:val="20"/>
        <w:lang w:val="it-IT"/>
      </w:rPr>
      <w:fldChar w:fldCharType="begin"/>
    </w:r>
    <w:r>
      <w:rPr>
        <w:rFonts w:ascii="Calibri" w:hAnsi="Calibri"/>
        <w:sz w:val="20"/>
        <w:szCs w:val="20"/>
        <w:lang w:val="it-IT"/>
      </w:rPr>
      <w:instrText xml:space="preserve"> PAGE </w:instrText>
    </w:r>
    <w:r>
      <w:rPr>
        <w:rFonts w:ascii="Calibri" w:hAnsi="Calibri"/>
        <w:sz w:val="20"/>
        <w:szCs w:val="20"/>
        <w:lang w:val="it-IT"/>
      </w:rPr>
      <w:fldChar w:fldCharType="separate"/>
    </w:r>
    <w:r>
      <w:rPr>
        <w:rFonts w:ascii="Calibri" w:hAnsi="Calibri"/>
        <w:sz w:val="20"/>
        <w:szCs w:val="20"/>
        <w:lang w:val="it-IT"/>
      </w:rPr>
      <w:t>4</w:t>
    </w:r>
    <w:r>
      <w:rPr>
        <w:rFonts w:ascii="Calibri" w:hAnsi="Calibri"/>
        <w:sz w:val="20"/>
        <w:szCs w:val="20"/>
        <w:lang w:val="it-IT"/>
      </w:rPr>
      <w:fldChar w:fldCharType="end"/>
    </w:r>
  </w:p>
  <w:p w:rsidR="00A325BD" w:rsidRDefault="00F12D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12DC5">
      <w:r>
        <w:rPr>
          <w:color w:val="000000"/>
        </w:rPr>
        <w:separator/>
      </w:r>
    </w:p>
  </w:footnote>
  <w:footnote w:type="continuationSeparator" w:id="0">
    <w:p w:rsidR="00000000" w:rsidRDefault="00F1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5BD" w:rsidRDefault="00F12DC5">
    <w:pPr>
      <w:ind w:right="1229"/>
      <w:jc w:val="center"/>
      <w:rPr>
        <w:rFonts w:ascii="Calibri Light" w:hAnsi="Calibri Light" w:cs="Calibri Light"/>
        <w:sz w:val="20"/>
        <w:szCs w:val="20"/>
        <w:lang w:val="it-IT"/>
      </w:rPr>
    </w:pPr>
    <w:r>
      <w:rPr>
        <w:rFonts w:ascii="Calibri Light" w:hAnsi="Calibri Light" w:cs="Calibri Light"/>
        <w:sz w:val="20"/>
        <w:szCs w:val="20"/>
        <w:lang w:val="it-IT"/>
      </w:rPr>
      <w:t>Regolamento (UE) n. 536/2014 – Documenti parte II</w:t>
    </w:r>
  </w:p>
  <w:p w:rsidR="00A325BD" w:rsidRDefault="00F12DC5">
    <w:pPr>
      <w:ind w:right="907"/>
      <w:jc w:val="center"/>
    </w:pPr>
    <w:r>
      <w:rPr>
        <w:rFonts w:ascii="Calibri Light" w:hAnsi="Calibri Light" w:cs="Calibri Light"/>
        <w:sz w:val="20"/>
        <w:szCs w:val="20"/>
        <w:lang w:val="it-IT"/>
      </w:rPr>
      <w:t>Modello “Raccolta, conservazione e uso futuro di campioni biologici”</w:t>
    </w:r>
  </w:p>
  <w:p w:rsidR="00A325BD" w:rsidRDefault="00F12DC5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956"/>
    <w:multiLevelType w:val="multilevel"/>
    <w:tmpl w:val="1BF25D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213949EA"/>
    <w:multiLevelType w:val="multilevel"/>
    <w:tmpl w:val="BE94DF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3E15440"/>
    <w:multiLevelType w:val="multilevel"/>
    <w:tmpl w:val="B8B220F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66162A9C"/>
    <w:multiLevelType w:val="multilevel"/>
    <w:tmpl w:val="C1C65B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37A56ED"/>
    <w:multiLevelType w:val="multilevel"/>
    <w:tmpl w:val="31B8D7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848983609">
    <w:abstractNumId w:val="3"/>
  </w:num>
  <w:num w:numId="2" w16cid:durableId="1154297986">
    <w:abstractNumId w:val="4"/>
  </w:num>
  <w:num w:numId="3" w16cid:durableId="1634753941">
    <w:abstractNumId w:val="0"/>
  </w:num>
  <w:num w:numId="4" w16cid:durableId="14423072">
    <w:abstractNumId w:val="1"/>
  </w:num>
  <w:num w:numId="5" w16cid:durableId="69758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3352"/>
    <w:rsid w:val="00433352"/>
    <w:rsid w:val="00F1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87F98-B35A-4DF9-87B2-5D55F2B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hAnsi="Times New Roman"/>
      <w:sz w:val="24"/>
      <w:szCs w:val="24"/>
      <w:lang w:val="en-GB" w:eastAsia="nl-NL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/>
      <w:outlineLvl w:val="1"/>
    </w:pPr>
    <w:rPr>
      <w:rFonts w:ascii="Arial" w:eastAsia="SimSun" w:hAnsi="Arial"/>
      <w:b/>
      <w:bCs/>
      <w:color w:val="003087"/>
      <w:sz w:val="28"/>
      <w:szCs w:val="26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SimSun" w:hAnsi="Calibri"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  <w:rPr>
      <w:rFonts w:eastAsia="Times New Roman"/>
    </w:rPr>
  </w:style>
  <w:style w:type="paragraph" w:styleId="Testocommento">
    <w:name w:val="annotation text"/>
    <w:basedOn w:val="Normale"/>
    <w:pPr>
      <w:spacing w:after="160"/>
    </w:pPr>
    <w:rPr>
      <w:rFonts w:ascii="Calibri" w:hAnsi="Calibri"/>
      <w:sz w:val="20"/>
      <w:szCs w:val="20"/>
      <w:lang w:val="sv-SE" w:eastAsia="en-US"/>
    </w:rPr>
  </w:style>
  <w:style w:type="character" w:customStyle="1" w:styleId="TestocommentoCarattere">
    <w:name w:val="Testo commento Carattere"/>
    <w:basedOn w:val="Carpredefinitoparagrafo"/>
    <w:rPr>
      <w:sz w:val="20"/>
      <w:szCs w:val="20"/>
      <w:lang w:val="sv-SE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Soggettocommento">
    <w:name w:val="annotation subject"/>
    <w:basedOn w:val="Testocommento"/>
    <w:next w:val="Testocommento"/>
    <w:pPr>
      <w:spacing w:after="0"/>
    </w:pPr>
    <w:rPr>
      <w:rFonts w:ascii="Times New Roman" w:hAnsi="Times New Roman"/>
      <w:b/>
      <w:bCs/>
      <w:lang w:val="nl-NL" w:eastAsia="nl-NL"/>
    </w:rPr>
  </w:style>
  <w:style w:type="character" w:customStyle="1" w:styleId="SoggettocommentoCarattere">
    <w:name w:val="Soggetto commento Carattere"/>
    <w:basedOn w:val="TestocommentoCarattere"/>
    <w:rPr>
      <w:rFonts w:ascii="Times New Roman" w:hAnsi="Times New Roman"/>
      <w:b/>
      <w:bCs/>
      <w:sz w:val="20"/>
      <w:szCs w:val="20"/>
      <w:lang w:val="sv-SE" w:eastAsia="nl-NL"/>
    </w:rPr>
  </w:style>
  <w:style w:type="paragraph" w:styleId="Testofumetto">
    <w:name w:val="Balloon Text"/>
    <w:basedOn w:val="Normale"/>
    <w:rPr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Times New Roman" w:hAnsi="Times New Roman" w:cs="Times New Roman"/>
      <w:sz w:val="18"/>
      <w:szCs w:val="18"/>
      <w:lang w:eastAsia="nl-NL"/>
    </w:rPr>
  </w:style>
  <w:style w:type="paragraph" w:styleId="Titolo">
    <w:name w:val="Title"/>
    <w:basedOn w:val="Normale"/>
    <w:next w:val="Normale"/>
    <w:uiPriority w:val="10"/>
    <w:qFormat/>
    <w:rPr>
      <w:rFonts w:ascii="Calibri" w:eastAsia="SimSun" w:hAnsi="Calibri"/>
      <w:spacing w:val="-10"/>
      <w:kern w:val="3"/>
      <w:sz w:val="56"/>
      <w:szCs w:val="56"/>
      <w:lang w:val="sv-SE" w:eastAsia="en-US"/>
    </w:rPr>
  </w:style>
  <w:style w:type="character" w:customStyle="1" w:styleId="TitoloCarattere">
    <w:name w:val="Titolo Carattere"/>
    <w:basedOn w:val="Carpredefinitoparagrafo"/>
    <w:rPr>
      <w:rFonts w:ascii="Calibri" w:eastAsia="SimSun" w:hAnsi="Calibri" w:cs="Times New Roman"/>
      <w:spacing w:val="-10"/>
      <w:kern w:val="3"/>
      <w:sz w:val="56"/>
      <w:szCs w:val="56"/>
      <w:lang w:val="sv-SE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Titolo2Carattere">
    <w:name w:val="Titolo 2 Carattere"/>
    <w:basedOn w:val="Carpredefinitoparagrafo"/>
    <w:rPr>
      <w:rFonts w:ascii="Arial" w:eastAsia="SimSun" w:hAnsi="Arial" w:cs="Times New Roman"/>
      <w:b/>
      <w:bCs/>
      <w:color w:val="003087"/>
      <w:sz w:val="28"/>
      <w:szCs w:val="26"/>
      <w:lang w:val="en-GB"/>
    </w:rPr>
  </w:style>
  <w:style w:type="character" w:customStyle="1" w:styleId="Titolo3Carattere">
    <w:name w:val="Titolo 3 Carattere"/>
    <w:basedOn w:val="Carpredefinitoparagrafo"/>
    <w:rPr>
      <w:rFonts w:ascii="Calibri" w:eastAsia="SimSun" w:hAnsi="Calibri" w:cs="Times New Roman"/>
      <w:color w:val="1F3763"/>
      <w:sz w:val="24"/>
      <w:szCs w:val="24"/>
      <w:lang w:eastAsia="nl-NL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rPr>
      <w:rFonts w:ascii="Times New Roman" w:hAnsi="Times New Roman"/>
      <w:sz w:val="24"/>
      <w:szCs w:val="24"/>
      <w:lang w:val="en-GB" w:eastAsia="nl-NL"/>
    </w:r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rPr>
      <w:rFonts w:ascii="Times New Roman" w:hAnsi="Times New Roman"/>
      <w:sz w:val="24"/>
      <w:szCs w:val="24"/>
      <w:lang w:val="en-GB" w:eastAsia="nl-NL"/>
    </w:rPr>
  </w:style>
  <w:style w:type="paragraph" w:styleId="Revisione">
    <w:name w:val="Revision"/>
    <w:pPr>
      <w:suppressAutoHyphens/>
      <w:spacing w:after="0" w:line="240" w:lineRule="auto"/>
    </w:pPr>
    <w:rPr>
      <w:rFonts w:ascii="Times New Roman" w:hAnsi="Times New Roman"/>
      <w:sz w:val="24"/>
      <w:szCs w:val="24"/>
      <w:lang w:val="en-GB" w:eastAsia="nl-NL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23-06-2022</dc:subject>
  <dc:creator>AIFA</dc:creator>
  <cp:lastModifiedBy>ospite</cp:lastModifiedBy>
  <cp:revision>2</cp:revision>
  <dcterms:created xsi:type="dcterms:W3CDTF">2022-12-09T13:23:00Z</dcterms:created>
  <dcterms:modified xsi:type="dcterms:W3CDTF">2022-12-09T13:23:00Z</dcterms:modified>
</cp:coreProperties>
</file>